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A4" w:rsidRPr="00C6695B" w:rsidRDefault="008569F5" w:rsidP="00C6695B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Checkliste für Außendiensttätigkeiten</w:t>
      </w:r>
      <w:r w:rsidR="00502CB4" w:rsidRPr="00C6695B">
        <w:rPr>
          <w:rFonts w:ascii="Arial" w:hAnsi="Arial" w:cs="Arial"/>
          <w:b/>
          <w:sz w:val="24"/>
          <w:u w:val="single"/>
        </w:rPr>
        <w:t xml:space="preserve"> während der Corona-Pandemie </w:t>
      </w:r>
    </w:p>
    <w:p w:rsidR="00432F0A" w:rsidRPr="00844239" w:rsidRDefault="00432F0A" w:rsidP="00844239">
      <w:pPr>
        <w:pStyle w:val="Listenabsatz"/>
        <w:numPr>
          <w:ilvl w:val="0"/>
          <w:numId w:val="1"/>
        </w:numPr>
      </w:pPr>
      <w:r w:rsidRPr="00844239">
        <w:rPr>
          <w:rFonts w:ascii="Arial" w:hAnsi="Arial" w:cs="Arial"/>
        </w:rPr>
        <w:t xml:space="preserve">Diese Checkliste </w:t>
      </w:r>
      <w:r w:rsidR="0077746A">
        <w:rPr>
          <w:rFonts w:ascii="Arial" w:hAnsi="Arial" w:cs="Arial"/>
        </w:rPr>
        <w:t>dient als Muster</w:t>
      </w:r>
      <w:r w:rsidR="005B40A8">
        <w:rPr>
          <w:rFonts w:ascii="Arial" w:hAnsi="Arial" w:cs="Arial"/>
        </w:rPr>
        <w:t xml:space="preserve"> und Hilfestellung</w:t>
      </w:r>
      <w:r w:rsidR="0077746A">
        <w:rPr>
          <w:rFonts w:ascii="Arial" w:hAnsi="Arial" w:cs="Arial"/>
        </w:rPr>
        <w:t xml:space="preserve">, um Beratungen und Termine im Außendienst </w:t>
      </w:r>
      <w:r w:rsidR="005B40A8">
        <w:rPr>
          <w:rFonts w:ascii="Arial" w:hAnsi="Arial" w:cs="Arial"/>
        </w:rPr>
        <w:t>wieder aufnehmen zu können</w:t>
      </w:r>
      <w:r w:rsidR="0077746A">
        <w:rPr>
          <w:rFonts w:ascii="Arial" w:hAnsi="Arial" w:cs="Arial"/>
        </w:rPr>
        <w:t xml:space="preserve">. Sie beinhaltet </w:t>
      </w:r>
      <w:r w:rsidRPr="00844239">
        <w:rPr>
          <w:rFonts w:ascii="Arial" w:hAnsi="Arial" w:cs="Arial"/>
        </w:rPr>
        <w:t>die wesentlichsten Aspekte</w:t>
      </w:r>
      <w:r w:rsidR="0077746A">
        <w:rPr>
          <w:rFonts w:ascii="Arial" w:hAnsi="Arial" w:cs="Arial"/>
        </w:rPr>
        <w:t xml:space="preserve"> zur Einhaltung des Infektionsschutzes</w:t>
      </w:r>
      <w:r w:rsidRPr="00844239">
        <w:rPr>
          <w:rFonts w:ascii="Arial" w:hAnsi="Arial" w:cs="Arial"/>
        </w:rPr>
        <w:t>, die bei außendienstlichen Terminen</w:t>
      </w:r>
      <w:r w:rsidR="005B40A8">
        <w:rPr>
          <w:rFonts w:ascii="Arial" w:hAnsi="Arial" w:cs="Arial"/>
        </w:rPr>
        <w:t xml:space="preserve"> zum Eigenschutz sowie Fremdschutz</w:t>
      </w:r>
      <w:r w:rsidR="0077746A">
        <w:rPr>
          <w:rFonts w:ascii="Arial" w:hAnsi="Arial" w:cs="Arial"/>
        </w:rPr>
        <w:t xml:space="preserve"> </w:t>
      </w:r>
      <w:r w:rsidRPr="00844239">
        <w:rPr>
          <w:rFonts w:ascii="Arial" w:hAnsi="Arial" w:cs="Arial"/>
        </w:rPr>
        <w:t xml:space="preserve">zu berücksichtigen sind. </w:t>
      </w:r>
    </w:p>
    <w:p w:rsidR="00502CB4" w:rsidRPr="00432F0A" w:rsidRDefault="00502CB4" w:rsidP="00C6695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432F0A">
        <w:rPr>
          <w:rFonts w:ascii="Arial" w:hAnsi="Arial" w:cs="Arial"/>
        </w:rPr>
        <w:t xml:space="preserve">Die Einschätzung der Notwendigkeit einer Außendiensttätigkeit obliegt den </w:t>
      </w:r>
      <w:r w:rsidR="0077746A">
        <w:rPr>
          <w:rFonts w:ascii="Arial" w:hAnsi="Arial" w:cs="Arial"/>
        </w:rPr>
        <w:t>im Außendienst beschäftigten Personen</w:t>
      </w:r>
      <w:r w:rsidR="0077746A" w:rsidRPr="00432F0A">
        <w:rPr>
          <w:rFonts w:ascii="Arial" w:hAnsi="Arial" w:cs="Arial"/>
        </w:rPr>
        <w:t xml:space="preserve"> </w:t>
      </w:r>
      <w:r w:rsidRPr="00432F0A">
        <w:rPr>
          <w:rFonts w:ascii="Arial" w:hAnsi="Arial" w:cs="Arial"/>
        </w:rPr>
        <w:t>selbst. In Zweifelsfällen wird in Absprache mit der Führungskraft und bei Bedarf unter Beteiligung des Betriebsarztes/der Betriebsärztin entschieden</w:t>
      </w:r>
      <w:r w:rsidR="00CC2C70" w:rsidRPr="00432F0A">
        <w:rPr>
          <w:rFonts w:ascii="Arial" w:hAnsi="Arial" w:cs="Arial"/>
        </w:rPr>
        <w:t>.</w:t>
      </w:r>
      <w:r w:rsidR="00070621" w:rsidRPr="00432F0A">
        <w:rPr>
          <w:rFonts w:ascii="Arial" w:hAnsi="Arial" w:cs="Arial"/>
        </w:rPr>
        <w:t xml:space="preserve"> </w:t>
      </w:r>
      <w:r w:rsidR="00432F0A" w:rsidRPr="00432F0A">
        <w:rPr>
          <w:rFonts w:ascii="Arial" w:hAnsi="Arial" w:cs="Arial"/>
        </w:rPr>
        <w:t>Vorab ist zu prüfen</w:t>
      </w:r>
      <w:r w:rsidR="00070621" w:rsidRPr="00432F0A">
        <w:rPr>
          <w:rFonts w:ascii="Arial" w:hAnsi="Arial" w:cs="Arial"/>
        </w:rPr>
        <w:t>, ob</w:t>
      </w:r>
      <w:r w:rsidR="00432F0A" w:rsidRPr="00432F0A">
        <w:rPr>
          <w:rFonts w:ascii="Arial" w:hAnsi="Arial" w:cs="Arial"/>
        </w:rPr>
        <w:t xml:space="preserve"> die Beratung</w:t>
      </w:r>
      <w:r w:rsidR="00070621" w:rsidRPr="00432F0A">
        <w:rPr>
          <w:rFonts w:ascii="Arial" w:hAnsi="Arial" w:cs="Arial"/>
        </w:rPr>
        <w:t xml:space="preserve"> tel</w:t>
      </w:r>
      <w:r w:rsidR="00432F0A" w:rsidRPr="00432F0A">
        <w:rPr>
          <w:rFonts w:ascii="Arial" w:hAnsi="Arial" w:cs="Arial"/>
        </w:rPr>
        <w:t>efonisch oder digital durchführbar ist.</w:t>
      </w:r>
    </w:p>
    <w:p w:rsidR="00502CB4" w:rsidRPr="00C6695B" w:rsidRDefault="00502CB4" w:rsidP="00C6695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6695B">
        <w:rPr>
          <w:rFonts w:ascii="Arial" w:hAnsi="Arial" w:cs="Arial"/>
        </w:rPr>
        <w:t>Beschäftigte, für die eine Ansteckung mit dem SARS-CoV-2-Virus ein erhöhtes Gesundheitsrisiko darstellt, z. B. ältere Personen, Personen mit Vorerkrankungen wie Diabetes, Lungenerkrankungen, Herz-Kreislauf-Erkrankungen, oder die in einem Haushalt mit einer besonders gefährdeten Person leben, sollten sich mit ihrer Führungskraft in Verbindung setzen, wenn Bedenken gegen die Wiederaufnahme der Außendiensttätigkeit besteht.</w:t>
      </w:r>
    </w:p>
    <w:p w:rsidR="000C134C" w:rsidRPr="00C6695B" w:rsidRDefault="000C134C" w:rsidP="00C6695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6695B">
        <w:rPr>
          <w:rFonts w:ascii="Arial" w:hAnsi="Arial" w:cs="Arial"/>
        </w:rPr>
        <w:t xml:space="preserve">Personen mit Atemwegssymptomen oder Fieber dürfen </w:t>
      </w:r>
      <w:r w:rsidRPr="00C6695B">
        <w:rPr>
          <w:rFonts w:ascii="Arial" w:hAnsi="Arial" w:cs="Arial"/>
          <w:b/>
        </w:rPr>
        <w:t>keinen</w:t>
      </w:r>
      <w:r w:rsidRPr="00C6695B">
        <w:rPr>
          <w:rFonts w:ascii="Arial" w:hAnsi="Arial" w:cs="Arial"/>
        </w:rPr>
        <w:t xml:space="preserve"> Außendienst führen!</w:t>
      </w:r>
    </w:p>
    <w:p w:rsidR="00CC2C70" w:rsidRPr="00432F0A" w:rsidRDefault="00CC2C70" w:rsidP="00FB1C49">
      <w:pPr>
        <w:pStyle w:val="Listenabsatz"/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3250"/>
        <w:gridCol w:w="5576"/>
        <w:gridCol w:w="236"/>
      </w:tblGrid>
      <w:tr w:rsidR="00F42DCF" w:rsidRPr="00C6695B" w:rsidTr="00FB1C49">
        <w:tc>
          <w:tcPr>
            <w:tcW w:w="5000" w:type="pct"/>
            <w:gridSpan w:val="3"/>
            <w:shd w:val="clear" w:color="auto" w:fill="0070C0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6695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Grundsätzliches </w:t>
            </w:r>
          </w:p>
        </w:tc>
      </w:tr>
      <w:tr w:rsidR="00F42DCF" w:rsidRPr="00C6695B" w:rsidTr="00FB1C49">
        <w:trPr>
          <w:trHeight w:val="849"/>
        </w:trPr>
        <w:tc>
          <w:tcPr>
            <w:tcW w:w="1797" w:type="pct"/>
            <w:vMerge w:val="restart"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rPr>
                <w:rFonts w:ascii="Arial" w:hAnsi="Arial" w:cs="Arial"/>
                <w:b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>Voraussetzungen beim Außendienst</w:t>
            </w: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Eine Mund-Nase-Bedeckung</w:t>
            </w:r>
            <w:r w:rsidR="008569F5">
              <w:rPr>
                <w:rFonts w:ascii="Arial" w:hAnsi="Arial" w:cs="Arial"/>
              </w:rPr>
              <w:t xml:space="preserve"> (MNB)</w:t>
            </w:r>
            <w:r w:rsidRPr="00C6695B">
              <w:rPr>
                <w:rFonts w:ascii="Arial" w:hAnsi="Arial" w:cs="Arial"/>
              </w:rPr>
              <w:t xml:space="preserve"> muss getragen werden, wenn der Abstand von 1,5m nicht sicher und dauerhaft eingehalten werden kann. 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1102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ED4F0E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Bei Kontakt mit Personen mit einem höheren Risiko für einen schweren SARS-CoV-2-Krankheitsverlauf oder sonstigem Kontakt zu besonders gefährdeten Personen muss eine FFP2-Maske oder </w:t>
            </w:r>
            <w:r w:rsidR="00ED4F0E">
              <w:rPr>
                <w:rFonts w:ascii="Arial" w:hAnsi="Arial" w:cs="Arial"/>
              </w:rPr>
              <w:t>ähnlicher</w:t>
            </w:r>
            <w:r w:rsidR="00ED4F0E" w:rsidRPr="00C6695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>Atemschutz (ohne Ausatemventil) getragen werden.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1026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ED4F0E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Bei unklaren Gesundheitszuständen von beteiligten Personen oder sich plötzlich verändernden Gefährdungslagen sollen nach eigenem Ermessen ebenfalls FFP2-Masken oder </w:t>
            </w:r>
            <w:r w:rsidR="00ED4F0E">
              <w:rPr>
                <w:rFonts w:ascii="Arial" w:hAnsi="Arial" w:cs="Arial"/>
              </w:rPr>
              <w:t>ähnlicher</w:t>
            </w:r>
            <w:r w:rsidR="00ED4F0E" w:rsidRPr="00C6695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 xml:space="preserve">Atemschutz (ohne Ausatemventil) getragen werden. Ggf. wird die </w:t>
            </w:r>
            <w:r w:rsidR="008569F5">
              <w:rPr>
                <w:rFonts w:ascii="Arial" w:hAnsi="Arial" w:cs="Arial"/>
              </w:rPr>
              <w:t>Beratung/der Termin</w:t>
            </w:r>
            <w:r w:rsidR="008569F5" w:rsidRPr="00C6695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>abgebrochen.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1195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5B40A8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Werden Atemschutz der Schutzklassen FFP2 über einen arbeitstäglichen Zeitraum von mehr als einer halben Stunde getragen, </w:t>
            </w:r>
            <w:r w:rsidR="005B40A8">
              <w:rPr>
                <w:rFonts w:ascii="Arial" w:hAnsi="Arial" w:cs="Arial"/>
              </w:rPr>
              <w:t>sollte</w:t>
            </w:r>
            <w:r w:rsidR="005B40A8" w:rsidRPr="00C6695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>eine arbeitsmedizinische Vorsorge angeboten werden.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843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Dokumentation der beteiligten Personen in den </w:t>
            </w:r>
            <w:r w:rsidR="008569F5">
              <w:rPr>
                <w:rFonts w:ascii="Arial" w:hAnsi="Arial" w:cs="Arial"/>
              </w:rPr>
              <w:t xml:space="preserve">Protokollen, </w:t>
            </w:r>
            <w:r w:rsidRPr="00C6695B">
              <w:rPr>
                <w:rFonts w:ascii="Arial" w:hAnsi="Arial" w:cs="Arial"/>
              </w:rPr>
              <w:t>Berichten, Vermerken etc. um eine spätere Rückverfolgung von Infektionsketten zu ermöglichen.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543"/>
        </w:trPr>
        <w:tc>
          <w:tcPr>
            <w:tcW w:w="1797" w:type="pct"/>
            <w:vMerge w:val="restart"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>Erforderliche mitzuführende Arbeitsmittel</w:t>
            </w: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Flüssige</w:t>
            </w:r>
            <w:r w:rsidR="00432F0A">
              <w:rPr>
                <w:rFonts w:ascii="Arial" w:hAnsi="Arial" w:cs="Arial"/>
              </w:rPr>
              <w:t>s Desinfektionsmittel (</w:t>
            </w:r>
            <w:proofErr w:type="spellStart"/>
            <w:r w:rsidR="00432F0A">
              <w:rPr>
                <w:rFonts w:ascii="Arial" w:hAnsi="Arial" w:cs="Arial"/>
              </w:rPr>
              <w:t>viruzid</w:t>
            </w:r>
            <w:proofErr w:type="spellEnd"/>
            <w:r w:rsidR="00432F0A">
              <w:rPr>
                <w:rFonts w:ascii="Arial" w:hAnsi="Arial" w:cs="Arial"/>
              </w:rPr>
              <w:t>)</w:t>
            </w:r>
            <w:r w:rsidRPr="00C6695B">
              <w:rPr>
                <w:rFonts w:ascii="Arial" w:hAnsi="Arial" w:cs="Arial"/>
              </w:rPr>
              <w:t xml:space="preserve"> zur Hand- und/oder Flächen-Desinfektion, wenn keine Reinigungsmöglichkeit der Hände im Betrieb gegeben ist. 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537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8569F5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Mund-Nase-Bedeckung, möglichst wiederverwendbar und FFP2-Masken</w:t>
            </w:r>
            <w:r w:rsidR="00ED4F0E">
              <w:rPr>
                <w:rFonts w:ascii="Arial" w:hAnsi="Arial" w:cs="Arial"/>
              </w:rPr>
              <w:t xml:space="preserve"> oder ein ähnlicher Atemnschutz</w:t>
            </w:r>
            <w:r w:rsidRPr="00C6695B">
              <w:rPr>
                <w:rFonts w:ascii="Arial" w:hAnsi="Arial" w:cs="Arial"/>
              </w:rPr>
              <w:t xml:space="preserve"> für </w:t>
            </w:r>
            <w:r w:rsidRPr="00C6695B">
              <w:rPr>
                <w:rFonts w:ascii="Arial" w:hAnsi="Arial" w:cs="Arial"/>
              </w:rPr>
              <w:lastRenderedPageBreak/>
              <w:t xml:space="preserve">besondere Gefährdungen; (bei </w:t>
            </w:r>
            <w:r w:rsidR="008569F5">
              <w:rPr>
                <w:rFonts w:ascii="Arial" w:hAnsi="Arial" w:cs="Arial"/>
              </w:rPr>
              <w:t>Terminen</w:t>
            </w:r>
            <w:r w:rsidRPr="00C6695B">
              <w:rPr>
                <w:rFonts w:ascii="Arial" w:hAnsi="Arial" w:cs="Arial"/>
              </w:rPr>
              <w:t xml:space="preserve"> z.B. im Gesundheitswesen mit einer konkreten COVID-19 Erkrankung, sind mindestens immer zwei vorrätig zu halten).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398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Einmalhandschuhe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490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Papierhandtücher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537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Müllbeutel für benutzte Einmal-Mund-Nase-Bedeckung, sonstiges Behältnis für wiederverwendbaren Mundschutz.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392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tabs>
                <w:tab w:val="left" w:pos="975"/>
              </w:tabs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Hautpflegemittel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c>
          <w:tcPr>
            <w:tcW w:w="5000" w:type="pct"/>
            <w:gridSpan w:val="3"/>
            <w:shd w:val="clear" w:color="auto" w:fill="0070C0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6695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Vorbereitung und Durchführen eines Außendiensttermins </w:t>
            </w:r>
          </w:p>
        </w:tc>
      </w:tr>
      <w:tr w:rsidR="00F42DCF" w:rsidRPr="00C6695B" w:rsidTr="00FB1C49">
        <w:trPr>
          <w:trHeight w:val="449"/>
        </w:trPr>
        <w:tc>
          <w:tcPr>
            <w:tcW w:w="1797" w:type="pct"/>
            <w:vMerge w:val="restart"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 xml:space="preserve">Kontaktaufnahme mit dem Betrieb oder Bildungseinrichtung </w:t>
            </w: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Telefonische Kontaktaufnahme zur Planung des Besuchs und Abfrage nach Hygienemöglichkeiten.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448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432F0A" w:rsidRDefault="00F42DCF" w:rsidP="00432F0A">
            <w:pPr>
              <w:spacing w:line="276" w:lineRule="auto"/>
              <w:rPr>
                <w:rFonts w:ascii="Arial" w:hAnsi="Arial" w:cs="Arial"/>
              </w:rPr>
            </w:pPr>
            <w:r w:rsidRPr="00432F0A">
              <w:rPr>
                <w:rFonts w:ascii="Arial" w:hAnsi="Arial" w:cs="Arial"/>
              </w:rPr>
              <w:t>Nachfrage, ob COVID-19 Fälle vorhanden bzw. noch in der Abklärung sind.</w:t>
            </w:r>
            <w:r w:rsidR="00070621" w:rsidRPr="00432F0A">
              <w:rPr>
                <w:rFonts w:ascii="Arial" w:hAnsi="Arial" w:cs="Arial"/>
              </w:rPr>
              <w:t xml:space="preserve"> </w:t>
            </w:r>
            <w:r w:rsidR="00432F0A" w:rsidRPr="00432F0A">
              <w:rPr>
                <w:rFonts w:ascii="Arial" w:hAnsi="Arial" w:cs="Arial"/>
              </w:rPr>
              <w:t xml:space="preserve">Sollte dieses bestätigt werden ist der Termin abzusagen. 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448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432F0A" w:rsidRDefault="00F42DCF" w:rsidP="00432F0A">
            <w:pPr>
              <w:spacing w:line="276" w:lineRule="auto"/>
              <w:rPr>
                <w:rFonts w:ascii="Arial" w:hAnsi="Arial" w:cs="Arial"/>
              </w:rPr>
            </w:pPr>
            <w:r w:rsidRPr="00432F0A">
              <w:rPr>
                <w:rFonts w:ascii="Arial" w:hAnsi="Arial" w:cs="Arial"/>
              </w:rPr>
              <w:t>Unangekündigte Besuche beginnen mit der Abklärung der Erkrankungsfälle.</w:t>
            </w:r>
            <w:r w:rsidR="00EF71AB" w:rsidRPr="00432F0A">
              <w:rPr>
                <w:rFonts w:ascii="Arial" w:hAnsi="Arial" w:cs="Arial"/>
              </w:rPr>
              <w:t xml:space="preserve"> </w:t>
            </w:r>
            <w:r w:rsidR="00432F0A" w:rsidRPr="00432F0A">
              <w:rPr>
                <w:rFonts w:ascii="Arial" w:hAnsi="Arial" w:cs="Arial"/>
              </w:rPr>
              <w:t>Sollte dieses bestätigt werden ist der Termin abzubrechen.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448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Anzahl der am Termin beteiligten Personen erfragen (Anzahl auf ein Minimum eingrenzen)</w:t>
            </w:r>
            <w:r w:rsidR="00432F0A">
              <w:rPr>
                <w:rFonts w:ascii="Arial" w:hAnsi="Arial" w:cs="Arial"/>
              </w:rPr>
              <w:t>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448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EF71AB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Größe der Räumlichkeiten erfragen und </w:t>
            </w:r>
            <w:r w:rsidR="00277D0E">
              <w:rPr>
                <w:rFonts w:ascii="Arial" w:hAnsi="Arial" w:cs="Arial"/>
              </w:rPr>
              <w:t xml:space="preserve">einen </w:t>
            </w:r>
            <w:r w:rsidR="00EF71AB" w:rsidRPr="00277D0E">
              <w:rPr>
                <w:rFonts w:ascii="Arial" w:hAnsi="Arial" w:cs="Arial"/>
              </w:rPr>
              <w:t xml:space="preserve">ausreichend großen </w:t>
            </w:r>
            <w:r w:rsidRPr="00C6695B">
              <w:rPr>
                <w:rFonts w:ascii="Arial" w:hAnsi="Arial" w:cs="Arial"/>
              </w:rPr>
              <w:t>Besprechungsraum wählen</w:t>
            </w:r>
            <w:r w:rsidR="00277D0E">
              <w:rPr>
                <w:rFonts w:ascii="Arial" w:hAnsi="Arial" w:cs="Arial"/>
              </w:rPr>
              <w:t>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448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Hinweis, dass MNB für den Bedarf vorzuhalten sind.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448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Die Arbeitsmittel für den Eigenbedarf (vgl. oben)</w:t>
            </w:r>
            <w:r w:rsidR="00EF71A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>sind mitzunehmen.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293"/>
        </w:trPr>
        <w:tc>
          <w:tcPr>
            <w:tcW w:w="1797" w:type="pct"/>
            <w:vMerge w:val="restart"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>Anreise mit Dienst-PKW/KFZ</w:t>
            </w: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Fahrten mit ÖPNV sollen vermieden werden.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292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Möglichst Alleinfahrt; maximal mit zwei Personen mit MNB.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621"/>
        </w:trPr>
        <w:tc>
          <w:tcPr>
            <w:tcW w:w="1797" w:type="pct"/>
            <w:vMerge w:val="restart"/>
            <w:shd w:val="clear" w:color="auto" w:fill="9CC2E5" w:themeFill="accent1" w:themeFillTint="99"/>
          </w:tcPr>
          <w:p w:rsidR="00F42DCF" w:rsidRPr="00C6695B" w:rsidRDefault="00F42DCF" w:rsidP="008569F5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>Besprechungen, Vorträge, Vor- und Nachbesprechungen usw.</w:t>
            </w:r>
          </w:p>
        </w:tc>
        <w:tc>
          <w:tcPr>
            <w:tcW w:w="3080" w:type="pct"/>
          </w:tcPr>
          <w:p w:rsidR="00F42DCF" w:rsidRPr="00C6695B" w:rsidRDefault="00F42DCF" w:rsidP="008569F5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Teilnehmerkreis einschränken (ggf. auf einzelne </w:t>
            </w:r>
            <w:r w:rsidR="008569F5">
              <w:rPr>
                <w:rFonts w:ascii="Arial" w:hAnsi="Arial" w:cs="Arial"/>
              </w:rPr>
              <w:t>Teilnehmer</w:t>
            </w:r>
            <w:r w:rsidR="008569F5" w:rsidRPr="00C6695B">
              <w:rPr>
                <w:rFonts w:ascii="Arial" w:hAnsi="Arial" w:cs="Arial"/>
              </w:rPr>
              <w:t xml:space="preserve"> </w:t>
            </w:r>
            <w:r w:rsidRPr="00C6695B">
              <w:rPr>
                <w:rFonts w:ascii="Arial" w:hAnsi="Arial" w:cs="Arial"/>
              </w:rPr>
              <w:t>verzichten).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618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Vorher abklären, dass keine Personen mit Krankheitssymptomen an dem Termin teilnehmen dürfen.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618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Einhalten des Mindestabstands zu Teilnehmenden von 1,5m.</w:t>
            </w:r>
          </w:p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 xml:space="preserve">(Faustformel: ca. 4m² pro teilnehmender Person). 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618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8569F5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Wenn der Abstand zwischen Teilnehmenden nicht dauerhaft sicher eingehalten werden kann, müssen alle Teilnehmenden eine Mund-Nase-Bedeckung tragen.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333"/>
        </w:trPr>
        <w:tc>
          <w:tcPr>
            <w:tcW w:w="1797" w:type="pct"/>
            <w:vMerge w:val="restart"/>
            <w:shd w:val="clear" w:color="auto" w:fill="9CC2E5" w:themeFill="accent1" w:themeFillTint="99"/>
          </w:tcPr>
          <w:p w:rsidR="00F42DCF" w:rsidRPr="00C6695B" w:rsidRDefault="008569F5" w:rsidP="00F42DC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Seminare</w:t>
            </w: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Mindestabstand zu Teilnehmenden mindestens 1,5m.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333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277D0E">
            <w:pPr>
              <w:spacing w:line="276" w:lineRule="auto"/>
              <w:rPr>
                <w:rFonts w:ascii="Arial" w:hAnsi="Arial" w:cs="Arial"/>
              </w:rPr>
            </w:pPr>
            <w:r w:rsidRPr="00277D0E">
              <w:rPr>
                <w:rFonts w:ascii="Arial" w:hAnsi="Arial" w:cs="Arial"/>
              </w:rPr>
              <w:t xml:space="preserve">Tischanordnung/Raumgestaltung dementsprechend vorher </w:t>
            </w:r>
            <w:r w:rsidR="00277D0E" w:rsidRPr="00277D0E">
              <w:rPr>
                <w:rFonts w:ascii="Arial" w:hAnsi="Arial" w:cs="Arial"/>
              </w:rPr>
              <w:t>festlegen</w:t>
            </w:r>
            <w:r w:rsidRPr="00277D0E">
              <w:rPr>
                <w:rFonts w:ascii="Arial" w:hAnsi="Arial" w:cs="Arial"/>
              </w:rPr>
              <w:t>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tr w:rsidR="00F42DCF" w:rsidRPr="00C6695B" w:rsidTr="00FB1C49">
        <w:trPr>
          <w:trHeight w:val="333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  <w:bookmarkStart w:id="0" w:name="_GoBack" w:colFirst="2" w:colLast="2"/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277D0E">
              <w:rPr>
                <w:rFonts w:ascii="Arial" w:hAnsi="Arial" w:cs="Arial"/>
              </w:rPr>
              <w:t>Räumlichkeiten mit Fenster nutzen.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highlight w:val="yellow"/>
              </w:rPr>
            </w:pPr>
          </w:p>
        </w:tc>
      </w:tr>
      <w:bookmarkEnd w:id="0"/>
      <w:tr w:rsidR="00F42DCF" w:rsidRPr="00C6695B" w:rsidTr="00FB1C49">
        <w:trPr>
          <w:trHeight w:val="333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Keine gemeinsame Pausengestaltung.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333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Keine gemeinsame Mittagspause.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c>
          <w:tcPr>
            <w:tcW w:w="5000" w:type="pct"/>
            <w:gridSpan w:val="3"/>
            <w:shd w:val="clear" w:color="auto" w:fill="0070C0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6695B">
              <w:rPr>
                <w:rFonts w:ascii="Arial" w:hAnsi="Arial" w:cs="Arial"/>
                <w:b/>
                <w:color w:val="FFFFFF" w:themeColor="background1"/>
                <w:sz w:val="28"/>
              </w:rPr>
              <w:t>Vor- und Abschlussgespräch</w:t>
            </w:r>
          </w:p>
        </w:tc>
      </w:tr>
      <w:tr w:rsidR="00F42DCF" w:rsidRPr="00C6695B" w:rsidTr="00FB1C49">
        <w:trPr>
          <w:trHeight w:val="333"/>
        </w:trPr>
        <w:tc>
          <w:tcPr>
            <w:tcW w:w="1797" w:type="pct"/>
            <w:vMerge w:val="restart"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  <w:b/>
              </w:rPr>
            </w:pPr>
            <w:r w:rsidRPr="00C6695B">
              <w:rPr>
                <w:rFonts w:ascii="Arial" w:hAnsi="Arial" w:cs="Arial"/>
                <w:b/>
                <w:sz w:val="24"/>
              </w:rPr>
              <w:t xml:space="preserve">Ankunft, Begrüßung und Verlassen des Betriebes </w:t>
            </w:r>
          </w:p>
        </w:tc>
        <w:tc>
          <w:tcPr>
            <w:tcW w:w="3080" w:type="pct"/>
          </w:tcPr>
          <w:p w:rsidR="00F42DCF" w:rsidRPr="00C6695B" w:rsidRDefault="00F42DCF" w:rsidP="00EF71AB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Vor Betreten des Betriebes Hände waschen</w:t>
            </w:r>
            <w:r w:rsidR="00277D0E">
              <w:rPr>
                <w:rFonts w:ascii="Arial" w:hAnsi="Arial" w:cs="Arial"/>
                <w:color w:val="FF0000"/>
              </w:rPr>
              <w:t xml:space="preserve"> </w:t>
            </w:r>
            <w:r w:rsidR="00277D0E" w:rsidRPr="00277D0E">
              <w:rPr>
                <w:rFonts w:ascii="Arial" w:hAnsi="Arial" w:cs="Arial"/>
              </w:rPr>
              <w:t xml:space="preserve">oder </w:t>
            </w:r>
            <w:r w:rsidRPr="00277D0E">
              <w:rPr>
                <w:rFonts w:ascii="Arial" w:hAnsi="Arial" w:cs="Arial"/>
              </w:rPr>
              <w:t>desinfizieren.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333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Verabreden einer gemeinsamen Hygiene-Etikette.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333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Bei fehlenden Mindestabstand sind MNB zu tragen.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333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Dokumentieren aller Teilnehmer.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333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6695B" w:rsidRDefault="00F42DCF" w:rsidP="00F42DCF">
            <w:pPr>
              <w:spacing w:line="276" w:lineRule="auto"/>
              <w:ind w:left="3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6695B" w:rsidRDefault="00F42DCF" w:rsidP="00EF71AB">
            <w:pPr>
              <w:spacing w:line="276" w:lineRule="auto"/>
              <w:rPr>
                <w:rFonts w:ascii="Arial" w:hAnsi="Arial" w:cs="Arial"/>
              </w:rPr>
            </w:pPr>
            <w:r w:rsidRPr="00C6695B">
              <w:rPr>
                <w:rFonts w:ascii="Arial" w:hAnsi="Arial" w:cs="Arial"/>
              </w:rPr>
              <w:t>Vor Verlassen des Betriebes sind die Hände zu waschen</w:t>
            </w:r>
            <w:r w:rsidR="00EF71AB">
              <w:rPr>
                <w:rFonts w:ascii="Arial" w:hAnsi="Arial" w:cs="Arial"/>
                <w:color w:val="FF0000"/>
              </w:rPr>
              <w:t xml:space="preserve"> </w:t>
            </w:r>
            <w:r w:rsidR="00EF71AB" w:rsidRPr="00277D0E">
              <w:rPr>
                <w:rFonts w:ascii="Arial" w:hAnsi="Arial" w:cs="Arial"/>
              </w:rPr>
              <w:t xml:space="preserve">oder zu </w:t>
            </w:r>
            <w:r w:rsidRPr="00277D0E">
              <w:rPr>
                <w:rFonts w:ascii="Arial" w:hAnsi="Arial" w:cs="Arial"/>
              </w:rPr>
              <w:t>desinfizieren</w:t>
            </w:r>
            <w:r w:rsidRPr="00C6695B">
              <w:rPr>
                <w:rFonts w:ascii="Arial" w:hAnsi="Arial" w:cs="Arial"/>
              </w:rPr>
              <w:t>.</w:t>
            </w:r>
          </w:p>
        </w:tc>
        <w:tc>
          <w:tcPr>
            <w:tcW w:w="123" w:type="pct"/>
          </w:tcPr>
          <w:p w:rsidR="00F42DCF" w:rsidRPr="00C6695B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1095"/>
        </w:trPr>
        <w:tc>
          <w:tcPr>
            <w:tcW w:w="1797" w:type="pct"/>
            <w:vMerge w:val="restart"/>
            <w:shd w:val="clear" w:color="auto" w:fill="9CC2E5" w:themeFill="accent1" w:themeFillTint="99"/>
          </w:tcPr>
          <w:p w:rsidR="00F42DCF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C2C70">
              <w:rPr>
                <w:rFonts w:ascii="Arial" w:hAnsi="Arial" w:cs="Arial"/>
                <w:b/>
                <w:sz w:val="24"/>
              </w:rPr>
              <w:t>Be</w:t>
            </w:r>
            <w:r w:rsidRPr="00277D0E">
              <w:rPr>
                <w:rFonts w:ascii="Arial" w:hAnsi="Arial" w:cs="Arial"/>
                <w:b/>
                <w:sz w:val="24"/>
              </w:rPr>
              <w:t>i</w:t>
            </w:r>
            <w:r w:rsidR="00EF71AB" w:rsidRPr="00277D0E">
              <w:rPr>
                <w:rFonts w:ascii="Arial" w:hAnsi="Arial" w:cs="Arial"/>
                <w:b/>
                <w:sz w:val="24"/>
              </w:rPr>
              <w:t>m</w:t>
            </w:r>
            <w:r w:rsidRPr="00277D0E">
              <w:rPr>
                <w:rFonts w:ascii="Arial" w:hAnsi="Arial" w:cs="Arial"/>
                <w:b/>
                <w:sz w:val="24"/>
              </w:rPr>
              <w:t xml:space="preserve"> </w:t>
            </w:r>
            <w:r w:rsidRPr="00CC2C70">
              <w:rPr>
                <w:rFonts w:ascii="Arial" w:hAnsi="Arial" w:cs="Arial"/>
                <w:b/>
                <w:sz w:val="24"/>
              </w:rPr>
              <w:t>bzw. nach Verlassen des Betriebes</w:t>
            </w:r>
          </w:p>
        </w:tc>
        <w:tc>
          <w:tcPr>
            <w:tcW w:w="3080" w:type="pct"/>
          </w:tcPr>
          <w:p w:rsidR="00F42DCF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C2C70">
              <w:rPr>
                <w:rFonts w:ascii="Arial" w:hAnsi="Arial" w:cs="Arial"/>
              </w:rPr>
              <w:t xml:space="preserve">Beim Absetzen der Mund-Nase-Bedeckung oder der FF2-Maske (in Sonderfällen) ist eine Berührung des Atembereiches auf der Maske zu vermeiden. </w:t>
            </w:r>
          </w:p>
          <w:p w:rsidR="00F42DCF" w:rsidRPr="00CC2C70" w:rsidRDefault="00F42DCF" w:rsidP="005B40A8">
            <w:pPr>
              <w:spacing w:line="276" w:lineRule="auto"/>
              <w:rPr>
                <w:rFonts w:ascii="Arial" w:hAnsi="Arial" w:cs="Arial"/>
              </w:rPr>
            </w:pPr>
            <w:r w:rsidRPr="00CC2C70">
              <w:rPr>
                <w:rFonts w:ascii="Arial" w:hAnsi="Arial" w:cs="Arial"/>
              </w:rPr>
              <w:t>Die Mund-Nase-Bedeckung soll, sofern sie</w:t>
            </w:r>
            <w:r>
              <w:rPr>
                <w:rFonts w:ascii="Arial" w:hAnsi="Arial" w:cs="Arial"/>
              </w:rPr>
              <w:t xml:space="preserve"> </w:t>
            </w:r>
            <w:r w:rsidRPr="00CC2C70">
              <w:rPr>
                <w:rFonts w:ascii="Arial" w:hAnsi="Arial" w:cs="Arial"/>
              </w:rPr>
              <w:t>während einer Schicht (eines Tages) wiederverwendet</w:t>
            </w:r>
            <w:r w:rsidR="005B40A8">
              <w:rPr>
                <w:rFonts w:ascii="Arial" w:hAnsi="Arial" w:cs="Arial"/>
              </w:rPr>
              <w:t xml:space="preserve"> wird</w:t>
            </w:r>
            <w:r w:rsidRPr="00CC2C70">
              <w:rPr>
                <w:rFonts w:ascii="Arial" w:hAnsi="Arial" w:cs="Arial"/>
              </w:rPr>
              <w:t>, unverpackt und</w:t>
            </w:r>
            <w:r>
              <w:rPr>
                <w:rFonts w:ascii="Arial" w:hAnsi="Arial" w:cs="Arial"/>
              </w:rPr>
              <w:t xml:space="preserve"> trocken aufbewahrt werden.</w:t>
            </w:r>
          </w:p>
        </w:tc>
        <w:tc>
          <w:tcPr>
            <w:tcW w:w="123" w:type="pct"/>
          </w:tcPr>
          <w:p w:rsidR="00F42DCF" w:rsidRPr="00CC2C70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42DCF" w:rsidRPr="00C6695B" w:rsidTr="00FB1C49">
        <w:trPr>
          <w:trHeight w:val="553"/>
        </w:trPr>
        <w:tc>
          <w:tcPr>
            <w:tcW w:w="1797" w:type="pct"/>
            <w:vMerge/>
            <w:shd w:val="clear" w:color="auto" w:fill="9CC2E5" w:themeFill="accent1" w:themeFillTint="99"/>
          </w:tcPr>
          <w:p w:rsidR="00F42DCF" w:rsidRPr="00CC2C70" w:rsidRDefault="00F42DCF" w:rsidP="00F42DC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80" w:type="pct"/>
          </w:tcPr>
          <w:p w:rsidR="00F42DCF" w:rsidRPr="00CC2C70" w:rsidRDefault="00F42DCF" w:rsidP="00F42DCF">
            <w:pPr>
              <w:spacing w:line="276" w:lineRule="auto"/>
              <w:rPr>
                <w:rFonts w:ascii="Arial" w:hAnsi="Arial" w:cs="Arial"/>
              </w:rPr>
            </w:pPr>
            <w:r w:rsidRPr="00CC2C70">
              <w:rPr>
                <w:rFonts w:ascii="Arial" w:hAnsi="Arial" w:cs="Arial"/>
              </w:rPr>
              <w:t>Gründliches Händewaschen mit Seife oder, falls Händewaschen nicht möglich, Händedesinfektion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23" w:type="pct"/>
          </w:tcPr>
          <w:p w:rsidR="00F42DCF" w:rsidRPr="00CC2C70" w:rsidRDefault="00F42DCF" w:rsidP="00F42DCF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02CB4" w:rsidRPr="00C6695B" w:rsidRDefault="00CC2C70" w:rsidP="00502CB4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sectPr w:rsidR="00502CB4" w:rsidRPr="00C6695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4A" w:rsidRDefault="0039524A" w:rsidP="00F42DCF">
      <w:pPr>
        <w:spacing w:after="0" w:line="240" w:lineRule="auto"/>
      </w:pPr>
      <w:r>
        <w:separator/>
      </w:r>
    </w:p>
  </w:endnote>
  <w:endnote w:type="continuationSeparator" w:id="0">
    <w:p w:rsidR="0039524A" w:rsidRDefault="0039524A" w:rsidP="00F4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3351368"/>
      <w:docPartObj>
        <w:docPartGallery w:val="Page Numbers (Bottom of Page)"/>
        <w:docPartUnique/>
      </w:docPartObj>
    </w:sdtPr>
    <w:sdtEndPr/>
    <w:sdtContent>
      <w:p w:rsidR="00F42DCF" w:rsidRDefault="00FB1C49">
        <w:pPr>
          <w:pStyle w:val="Fuzeile"/>
          <w:jc w:val="right"/>
        </w:pPr>
        <w:r>
          <w:t xml:space="preserve"> Seite </w:t>
        </w:r>
        <w:r w:rsidR="00F42DCF">
          <w:fldChar w:fldCharType="begin"/>
        </w:r>
        <w:r w:rsidR="00F42DCF">
          <w:instrText>PAGE   \* MERGEFORMAT</w:instrText>
        </w:r>
        <w:r w:rsidR="00F42DCF">
          <w:fldChar w:fldCharType="separate"/>
        </w:r>
        <w:r>
          <w:rPr>
            <w:noProof/>
          </w:rPr>
          <w:t>1</w:t>
        </w:r>
        <w:r w:rsidR="00F42DCF">
          <w:fldChar w:fldCharType="end"/>
        </w:r>
      </w:p>
    </w:sdtContent>
  </w:sdt>
  <w:p w:rsidR="00F42DCF" w:rsidRDefault="00277D0E">
    <w:pPr>
      <w:pStyle w:val="Fuzeile"/>
    </w:pPr>
    <w:r>
      <w:t>Version 1.0</w:t>
    </w:r>
    <w:r>
      <w:tab/>
    </w:r>
    <w:r>
      <w:tab/>
      <w:t>Stand 1</w:t>
    </w:r>
    <w:r w:rsidR="00437DE8">
      <w:t>8</w:t>
    </w:r>
    <w:r>
      <w:t>.05.20</w:t>
    </w:r>
    <w:r w:rsidR="00FB1C49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4A" w:rsidRDefault="0039524A" w:rsidP="00F42DCF">
      <w:pPr>
        <w:spacing w:after="0" w:line="240" w:lineRule="auto"/>
      </w:pPr>
      <w:r>
        <w:separator/>
      </w:r>
    </w:p>
  </w:footnote>
  <w:footnote w:type="continuationSeparator" w:id="0">
    <w:p w:rsidR="0039524A" w:rsidRDefault="0039524A" w:rsidP="00F4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39" w:rsidRDefault="00844239">
    <w:pPr>
      <w:pStyle w:val="Kopfzeile"/>
    </w:pPr>
    <w:r w:rsidRPr="0084423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530B01" wp14:editId="26DA06EC">
              <wp:simplePos x="0" y="0"/>
              <wp:positionH relativeFrom="column">
                <wp:posOffset>4695825</wp:posOffset>
              </wp:positionH>
              <wp:positionV relativeFrom="paragraph">
                <wp:posOffset>280670</wp:posOffset>
              </wp:positionV>
              <wp:extent cx="1171575" cy="194945"/>
              <wp:effectExtent l="0" t="0" r="9525" b="0"/>
              <wp:wrapNone/>
              <wp:docPr id="7" name="Rectangle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1575" cy="194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4239" w:rsidRPr="002213B6" w:rsidRDefault="00844239" w:rsidP="00844239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Pr="00446269">
                            <w:rPr>
                              <w:sz w:val="16"/>
                            </w:rPr>
                            <w:t>- Mitglied der VGplus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530B01" id="Rectangle 86" o:spid="_x0000_s1026" style="position:absolute;margin-left:369.75pt;margin-top:22.1pt;width:9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" stroked="f">
              <v:textbox>
                <w:txbxContent>
                  <w:p w:rsidR="00844239" w:rsidRPr="002213B6" w:rsidRDefault="00844239" w:rsidP="00844239">
                    <w:pPr>
                      <w:rPr>
                        <w:sz w:val="12"/>
                      </w:rPr>
                    </w:pPr>
                    <w:r>
                      <w:rPr>
                        <w:sz w:val="16"/>
                      </w:rPr>
                      <w:t xml:space="preserve"> </w:t>
                    </w:r>
                    <w:r w:rsidRPr="00446269">
                      <w:rPr>
                        <w:sz w:val="16"/>
                      </w:rPr>
                      <w:t xml:space="preserve">- Mitglied der </w:t>
                    </w:r>
                    <w:proofErr w:type="spellStart"/>
                    <w:r w:rsidRPr="00446269">
                      <w:rPr>
                        <w:sz w:val="16"/>
                      </w:rPr>
                      <w:t>VGplus</w:t>
                    </w:r>
                    <w:proofErr w:type="spellEnd"/>
                    <w:r w:rsidRPr="00446269">
                      <w:rPr>
                        <w:sz w:val="16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  <w:r w:rsidRPr="00844239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287EB71" wp14:editId="03601C81">
          <wp:simplePos x="0" y="0"/>
          <wp:positionH relativeFrom="margin">
            <wp:posOffset>4143375</wp:posOffset>
          </wp:positionH>
          <wp:positionV relativeFrom="paragraph">
            <wp:posOffset>-324485</wp:posOffset>
          </wp:positionV>
          <wp:extent cx="2352675" cy="654545"/>
          <wp:effectExtent l="0" t="0" r="0" b="0"/>
          <wp:wrapNone/>
          <wp:docPr id="88" name="Bild 88" descr="Logo-BS-GUV-RGB-2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ogo-BS-GUV-RGB-2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5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243"/>
    <w:multiLevelType w:val="hybridMultilevel"/>
    <w:tmpl w:val="E3E43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C77DBE"/>
    <w:multiLevelType w:val="hybridMultilevel"/>
    <w:tmpl w:val="55261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E26AC3"/>
    <w:multiLevelType w:val="hybridMultilevel"/>
    <w:tmpl w:val="FBD815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5A9742">
      <w:numFmt w:val="bullet"/>
      <w:lvlText w:val="•"/>
      <w:lvlJc w:val="left"/>
      <w:pPr>
        <w:ind w:left="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B4575A"/>
    <w:multiLevelType w:val="hybridMultilevel"/>
    <w:tmpl w:val="AF56F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B4"/>
    <w:rsid w:val="00070621"/>
    <w:rsid w:val="000C134C"/>
    <w:rsid w:val="001112C6"/>
    <w:rsid w:val="00184C67"/>
    <w:rsid w:val="0026461F"/>
    <w:rsid w:val="00277D0E"/>
    <w:rsid w:val="00297C46"/>
    <w:rsid w:val="003614A4"/>
    <w:rsid w:val="0039524A"/>
    <w:rsid w:val="003D0B9C"/>
    <w:rsid w:val="00432F0A"/>
    <w:rsid w:val="00437DE8"/>
    <w:rsid w:val="00490FC0"/>
    <w:rsid w:val="00502CB4"/>
    <w:rsid w:val="005B40A8"/>
    <w:rsid w:val="00656F34"/>
    <w:rsid w:val="007530BB"/>
    <w:rsid w:val="00753DD9"/>
    <w:rsid w:val="0077746A"/>
    <w:rsid w:val="00844239"/>
    <w:rsid w:val="008569F5"/>
    <w:rsid w:val="008D533E"/>
    <w:rsid w:val="0095395A"/>
    <w:rsid w:val="00977771"/>
    <w:rsid w:val="00AC32AE"/>
    <w:rsid w:val="00C06977"/>
    <w:rsid w:val="00C6695B"/>
    <w:rsid w:val="00CC2C70"/>
    <w:rsid w:val="00D0243B"/>
    <w:rsid w:val="00D42789"/>
    <w:rsid w:val="00D65385"/>
    <w:rsid w:val="00ED4F0E"/>
    <w:rsid w:val="00EF71AB"/>
    <w:rsid w:val="00F42DCF"/>
    <w:rsid w:val="00FB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9EF7-C928-42D6-A158-FECC5BDE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CB4"/>
    <w:pPr>
      <w:ind w:left="720"/>
      <w:contextualSpacing/>
    </w:pPr>
  </w:style>
  <w:style w:type="table" w:styleId="Tabellenraster">
    <w:name w:val="Table Grid"/>
    <w:basedOn w:val="NormaleTabelle"/>
    <w:uiPriority w:val="39"/>
    <w:rsid w:val="0050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2DCF"/>
  </w:style>
  <w:style w:type="paragraph" w:styleId="Fuzeile">
    <w:name w:val="footer"/>
    <w:basedOn w:val="Standard"/>
    <w:link w:val="FuzeileZchn"/>
    <w:uiPriority w:val="99"/>
    <w:unhideWhenUsed/>
    <w:rsid w:val="00F4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2DCF"/>
  </w:style>
  <w:style w:type="character" w:styleId="Kommentarzeichen">
    <w:name w:val="annotation reference"/>
    <w:basedOn w:val="Absatz-Standardschriftart"/>
    <w:uiPriority w:val="99"/>
    <w:semiHidden/>
    <w:unhideWhenUsed/>
    <w:rsid w:val="000706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06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06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6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06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62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844239"/>
    <w:rPr>
      <w:color w:val="0563C1"/>
      <w:u w:val="single"/>
    </w:rPr>
  </w:style>
  <w:style w:type="paragraph" w:styleId="berarbeitung">
    <w:name w:val="Revision"/>
    <w:hidden/>
    <w:uiPriority w:val="99"/>
    <w:semiHidden/>
    <w:rsid w:val="00111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Unfallversicherungverband Oldenburg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Kluch, Angelina</dc:creator>
  <cp:keywords/>
  <dc:description/>
  <cp:lastModifiedBy>Schwanz, Michael</cp:lastModifiedBy>
  <cp:revision>7</cp:revision>
  <dcterms:created xsi:type="dcterms:W3CDTF">2020-05-18T12:48:00Z</dcterms:created>
  <dcterms:modified xsi:type="dcterms:W3CDTF">2020-05-19T08:24:00Z</dcterms:modified>
</cp:coreProperties>
</file>